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CA2786" w:rsidRPr="00231F90" w14:paraId="4BBC6647" w14:textId="77777777" w:rsidTr="00F752AB">
        <w:tc>
          <w:tcPr>
            <w:tcW w:w="1696" w:type="dxa"/>
          </w:tcPr>
          <w:p w14:paraId="25D9085B"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t>Idea Title</w:t>
            </w:r>
          </w:p>
        </w:tc>
        <w:tc>
          <w:tcPr>
            <w:tcW w:w="7320" w:type="dxa"/>
          </w:tcPr>
          <w:p w14:paraId="12225FA8" w14:textId="77777777" w:rsidR="00CA2786" w:rsidRPr="00231F90" w:rsidRDefault="00CA2786" w:rsidP="00F752AB">
            <w:pPr>
              <w:spacing w:line="360" w:lineRule="auto"/>
              <w:rPr>
                <w:rFonts w:ascii="Open Sans" w:hAnsi="Open Sans" w:cs="Open Sans"/>
              </w:rPr>
            </w:pPr>
            <w:r w:rsidRPr="00231F90">
              <w:rPr>
                <w:rFonts w:ascii="Open Sans" w:hAnsi="Open Sans" w:cs="Open Sans"/>
              </w:rPr>
              <w:t xml:space="preserve">SUBU </w:t>
            </w:r>
            <w:r>
              <w:rPr>
                <w:rFonts w:ascii="Open Sans" w:hAnsi="Open Sans" w:cs="Open Sans"/>
              </w:rPr>
              <w:t>will amend the elections policy to ensure all committee members of a faith-based society are of the given faith.</w:t>
            </w:r>
          </w:p>
        </w:tc>
      </w:tr>
      <w:tr w:rsidR="00CA2786" w:rsidRPr="00231F90" w14:paraId="14C654A5" w14:textId="77777777" w:rsidTr="00F752AB">
        <w:tc>
          <w:tcPr>
            <w:tcW w:w="1696" w:type="dxa"/>
          </w:tcPr>
          <w:p w14:paraId="15AC9F1E"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t>Summary</w:t>
            </w:r>
          </w:p>
        </w:tc>
        <w:tc>
          <w:tcPr>
            <w:tcW w:w="7320" w:type="dxa"/>
          </w:tcPr>
          <w:p w14:paraId="1A60F5E7" w14:textId="77777777" w:rsidR="00CA2786" w:rsidRPr="00231F90" w:rsidRDefault="00CA2786" w:rsidP="00F752AB">
            <w:pPr>
              <w:spacing w:line="360" w:lineRule="auto"/>
              <w:rPr>
                <w:rFonts w:ascii="Open Sans" w:hAnsi="Open Sans" w:cs="Open Sans"/>
              </w:rPr>
            </w:pPr>
            <w:r>
              <w:rPr>
                <w:rFonts w:ascii="Open Sans" w:hAnsi="Open Sans" w:cs="Open Sans"/>
              </w:rPr>
              <w:t>SUBU should make amendments to elections policy to allow fait hand belief societies to have an additional requirement in order to run for committee positions. This should take the form of agreeing to the given faith of the society. The definition of this faith would be outlined in each society’s constitution. This is in order to ensure a safe space for students of faith, reduce risk of conflict, prevent religious discrimination and protect the aims and objectives of the society. As far as we understand this proposal is consistent with the Byelaws of SUBU concerning committee membership (see 8.3, 8.5, 8.6)</w:t>
            </w:r>
          </w:p>
        </w:tc>
      </w:tr>
      <w:tr w:rsidR="00CA2786" w:rsidRPr="00D60846" w14:paraId="64F0E2A4" w14:textId="77777777" w:rsidTr="00F752AB">
        <w:tc>
          <w:tcPr>
            <w:tcW w:w="1696" w:type="dxa"/>
          </w:tcPr>
          <w:p w14:paraId="17A9FA7C"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t>Thought Process</w:t>
            </w:r>
          </w:p>
        </w:tc>
        <w:tc>
          <w:tcPr>
            <w:tcW w:w="7320" w:type="dxa"/>
          </w:tcPr>
          <w:p w14:paraId="6EFB37E4"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The current policy states:</w:t>
            </w:r>
          </w:p>
          <w:p w14:paraId="369C25A8"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w:t>
            </w:r>
            <w:r w:rsidRPr="00D60846">
              <w:rPr>
                <w:rFonts w:ascii="Open Sans" w:hAnsi="Open Sans" w:cs="Open Sans"/>
                <w:i/>
                <w:iCs/>
                <w:color w:val="202124"/>
                <w:spacing w:val="3"/>
                <w:shd w:val="clear" w:color="auto" w:fill="FFFFFF"/>
              </w:rPr>
              <w:t>11.2. Any Club/Society member may stand for election to the Committee of the Club/Society, subject to eligibility outlined below.</w:t>
            </w:r>
          </w:p>
          <w:p w14:paraId="1F5D7360"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11.2.1 The President, Treasurer and Secretary must be Full Members of SUBU (</w:t>
            </w:r>
            <w:proofErr w:type="spellStart"/>
            <w:r w:rsidRPr="00D60846">
              <w:rPr>
                <w:rFonts w:ascii="Open Sans" w:hAnsi="Open Sans" w:cs="Open Sans"/>
                <w:i/>
                <w:iCs/>
                <w:color w:val="202124"/>
                <w:spacing w:val="3"/>
                <w:shd w:val="clear" w:color="auto" w:fill="FFFFFF"/>
              </w:rPr>
              <w:t>i.e</w:t>
            </w:r>
            <w:proofErr w:type="spellEnd"/>
            <w:r w:rsidRPr="00D60846">
              <w:rPr>
                <w:rFonts w:ascii="Open Sans" w:hAnsi="Open Sans" w:cs="Open Sans"/>
                <w:i/>
                <w:iCs/>
                <w:color w:val="202124"/>
                <w:spacing w:val="3"/>
                <w:shd w:val="clear" w:color="auto" w:fill="FFFFFF"/>
              </w:rPr>
              <w:t xml:space="preserve"> not Affiliate Members, past member, Life Member, or current BU student who has ‘opted out’ of SUBU membership) and the candidates must hold valid Standard membership to be eligible.</w:t>
            </w:r>
          </w:p>
          <w:p w14:paraId="5F1FFF71"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11.2.2 Affiliate members may stand for election for additional roles but will not be eligible to become a signatory on the club or society’s accounts (the signatories are President, Treasurer or Secretary).”</w:t>
            </w:r>
          </w:p>
          <w:p w14:paraId="69977C86" w14:textId="77777777" w:rsidR="00CA2786" w:rsidRPr="00D60846" w:rsidRDefault="00CA2786" w:rsidP="00F752AB">
            <w:pPr>
              <w:spacing w:line="360" w:lineRule="auto"/>
              <w:rPr>
                <w:rFonts w:ascii="Open Sans" w:hAnsi="Open Sans" w:cs="Open Sans"/>
                <w:i/>
                <w:iCs/>
                <w:color w:val="202124"/>
                <w:spacing w:val="3"/>
                <w:shd w:val="clear" w:color="auto" w:fill="FFFFFF"/>
              </w:rPr>
            </w:pPr>
          </w:p>
          <w:p w14:paraId="7390FEC9"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Current policy means a student of any or no faith could run for a position in a faith-based society. This means they may not be aligned with the society’s goals and aims (and are therefore in conflict with other parts of the constitution).</w:t>
            </w:r>
          </w:p>
          <w:p w14:paraId="1C8B6A9F" w14:textId="77777777" w:rsidR="00CA2786" w:rsidRPr="00D60846" w:rsidRDefault="00CA2786" w:rsidP="00F752AB">
            <w:pPr>
              <w:spacing w:line="360" w:lineRule="auto"/>
              <w:rPr>
                <w:rFonts w:ascii="Open Sans" w:hAnsi="Open Sans" w:cs="Open Sans"/>
                <w:color w:val="202124"/>
                <w:spacing w:val="3"/>
                <w:shd w:val="clear" w:color="auto" w:fill="FFFFFF"/>
              </w:rPr>
            </w:pPr>
          </w:p>
          <w:p w14:paraId="2B860425"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lastRenderedPageBreak/>
              <w:t>This also means that the society may not be a safe-space for members of the faith in question and members may not feel able to express themselves freely. In turn, there is also a risk of the committee member who is not of the relevant faith causing distress to other members and spreading views or ideas not in line with the beliefs of the given society. We propose a change to allow faith societies to ensure all candidates are of the relevant faith. This is also commonplace for other Christian Unions across Great Britain. Many of them have this requirement within their constitution already.</w:t>
            </w:r>
          </w:p>
          <w:p w14:paraId="4F59C3A0" w14:textId="77777777" w:rsidR="00CA2786" w:rsidRPr="00D60846" w:rsidRDefault="00CA2786" w:rsidP="00F752AB">
            <w:pPr>
              <w:spacing w:line="360" w:lineRule="auto"/>
              <w:rPr>
                <w:rFonts w:ascii="Open Sans" w:hAnsi="Open Sans" w:cs="Open Sans"/>
                <w:color w:val="202124"/>
                <w:spacing w:val="3"/>
                <w:shd w:val="clear" w:color="auto" w:fill="FFFFFF"/>
              </w:rPr>
            </w:pPr>
          </w:p>
          <w:p w14:paraId="41B2B634"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The Equality Act 2010, European Convention on Human Rights and the Human Rights Acts 1998 supports this amendment.</w:t>
            </w:r>
          </w:p>
          <w:p w14:paraId="0004C402"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The Equality Act 2010 Paragraph 2 states “</w:t>
            </w:r>
            <w:r w:rsidRPr="00D60846">
              <w:rPr>
                <w:rFonts w:ascii="Open Sans" w:hAnsi="Open Sans" w:cs="Open Sans"/>
                <w:i/>
                <w:iCs/>
                <w:color w:val="202124"/>
                <w:spacing w:val="3"/>
                <w:shd w:val="clear" w:color="auto" w:fill="FFFFFF"/>
              </w:rPr>
              <w:t>A difference in treatment may be lawful in situations outside the workplace such as if:</w:t>
            </w:r>
          </w:p>
          <w:p w14:paraId="51E02F68" w14:textId="77777777" w:rsidR="00CA2786" w:rsidRPr="00D60846" w:rsidRDefault="00CA2786" w:rsidP="00CA2786">
            <w:pPr>
              <w:pStyle w:val="ListParagraph"/>
              <w:numPr>
                <w:ilvl w:val="0"/>
                <w:numId w:val="1"/>
              </w:num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A faith school is using religious criteria to give priority in admissions to children from a particular religion.</w:t>
            </w:r>
          </w:p>
          <w:p w14:paraId="208788D8" w14:textId="77777777" w:rsidR="00CA2786" w:rsidRPr="00D60846" w:rsidRDefault="00CA2786" w:rsidP="00CA2786">
            <w:pPr>
              <w:pStyle w:val="ListParagraph"/>
              <w:numPr>
                <w:ilvl w:val="0"/>
                <w:numId w:val="1"/>
              </w:num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A religious or belief organisation is restricting its membership or participation in its activities, or the provision of goods, facilities and services to persons of a particular religion or belief. This only applies to organisations whose purpose is to practice, promote or teach a religion or belief, whose sole or main purpose is not commercial. A restriction can only be imposed:</w:t>
            </w:r>
          </w:p>
          <w:p w14:paraId="0A998291" w14:textId="77777777" w:rsidR="00CA2786" w:rsidRPr="00D60846" w:rsidRDefault="00CA2786" w:rsidP="00CA2786">
            <w:pPr>
              <w:pStyle w:val="ListParagraph"/>
              <w:numPr>
                <w:ilvl w:val="1"/>
                <w:numId w:val="1"/>
              </w:num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If the purpose of the organisation is to provide services to one religion or belief</w:t>
            </w:r>
          </w:p>
          <w:p w14:paraId="3E329BB7" w14:textId="77777777" w:rsidR="00CA2786" w:rsidRPr="00D60846" w:rsidRDefault="00CA2786" w:rsidP="00CA2786">
            <w:pPr>
              <w:pStyle w:val="ListParagraph"/>
              <w:numPr>
                <w:ilvl w:val="1"/>
                <w:numId w:val="1"/>
              </w:num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If it is necessary to avoid causing offence to persons with the same religion or belief as the organisation”</w:t>
            </w:r>
          </w:p>
          <w:p w14:paraId="368C874F"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We believe that SUBU faith societies fulfil the criteria of “</w:t>
            </w:r>
            <w:r w:rsidRPr="00D60846">
              <w:rPr>
                <w:rFonts w:ascii="Open Sans" w:hAnsi="Open Sans" w:cs="Open Sans"/>
                <w:i/>
                <w:iCs/>
                <w:color w:val="202124"/>
                <w:spacing w:val="3"/>
                <w:shd w:val="clear" w:color="auto" w:fill="FFFFFF"/>
              </w:rPr>
              <w:t>organisations whose purpose is to practice, promote or teach a religion or belief”</w:t>
            </w:r>
            <w:r w:rsidRPr="00D60846">
              <w:rPr>
                <w:rFonts w:ascii="Open Sans" w:hAnsi="Open Sans" w:cs="Open Sans"/>
                <w:color w:val="202124"/>
                <w:spacing w:val="3"/>
                <w:shd w:val="clear" w:color="auto" w:fill="FFFFFF"/>
              </w:rPr>
              <w:t xml:space="preserve"> and </w:t>
            </w:r>
            <w:r w:rsidRPr="00D60846">
              <w:rPr>
                <w:rFonts w:ascii="Open Sans" w:hAnsi="Open Sans" w:cs="Open Sans"/>
                <w:i/>
                <w:iCs/>
                <w:color w:val="202124"/>
                <w:spacing w:val="3"/>
                <w:shd w:val="clear" w:color="auto" w:fill="FFFFFF"/>
              </w:rPr>
              <w:t xml:space="preserve">“the purpose of the organisation is to </w:t>
            </w:r>
            <w:r w:rsidRPr="00D60846">
              <w:rPr>
                <w:rFonts w:ascii="Open Sans" w:hAnsi="Open Sans" w:cs="Open Sans"/>
                <w:i/>
                <w:iCs/>
                <w:color w:val="202124"/>
                <w:spacing w:val="3"/>
                <w:shd w:val="clear" w:color="auto" w:fill="FFFFFF"/>
              </w:rPr>
              <w:lastRenderedPageBreak/>
              <w:t>provide services to one religion or belief</w:t>
            </w:r>
            <w:r w:rsidRPr="00D60846">
              <w:rPr>
                <w:rFonts w:ascii="Open Sans" w:hAnsi="Open Sans" w:cs="Open Sans"/>
                <w:color w:val="202124"/>
                <w:spacing w:val="3"/>
                <w:shd w:val="clear" w:color="auto" w:fill="FFFFFF"/>
              </w:rPr>
              <w:t>”. Though the Equality Act 2010 deems it lawful to apply this to members, we seek only to apply this to leadership in order for the society to remain as open and inclusive as possible.</w:t>
            </w:r>
          </w:p>
          <w:p w14:paraId="482FB4A5" w14:textId="77777777" w:rsidR="00CA2786" w:rsidRPr="00D60846" w:rsidRDefault="00CA2786" w:rsidP="00F752AB">
            <w:pPr>
              <w:spacing w:line="360" w:lineRule="auto"/>
              <w:rPr>
                <w:rFonts w:ascii="Open Sans" w:hAnsi="Open Sans" w:cs="Open Sans"/>
                <w:color w:val="202124"/>
                <w:spacing w:val="3"/>
                <w:shd w:val="clear" w:color="auto" w:fill="FFFFFF"/>
              </w:rPr>
            </w:pPr>
          </w:p>
          <w:p w14:paraId="6931FAB3"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This would help support SUBU’s strategic themes of Togetherness (belonging and community) and Identity.</w:t>
            </w:r>
          </w:p>
          <w:p w14:paraId="3D6BA049" w14:textId="77777777" w:rsidR="00CA2786" w:rsidRPr="00D60846" w:rsidRDefault="00CA2786" w:rsidP="00F752AB">
            <w:pPr>
              <w:spacing w:line="360" w:lineRule="auto"/>
              <w:rPr>
                <w:rFonts w:ascii="Open Sans" w:hAnsi="Open Sans" w:cs="Open Sans"/>
              </w:rPr>
            </w:pPr>
          </w:p>
        </w:tc>
      </w:tr>
      <w:tr w:rsidR="00CA2786" w:rsidRPr="00D60846" w14:paraId="16DFEF04" w14:textId="77777777" w:rsidTr="00F752AB">
        <w:tc>
          <w:tcPr>
            <w:tcW w:w="1696" w:type="dxa"/>
          </w:tcPr>
          <w:p w14:paraId="08338A6B"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lastRenderedPageBreak/>
              <w:t>Student Consultation</w:t>
            </w:r>
          </w:p>
        </w:tc>
        <w:tc>
          <w:tcPr>
            <w:tcW w:w="7320" w:type="dxa"/>
          </w:tcPr>
          <w:p w14:paraId="3C51E05F"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 xml:space="preserve">Christian Union has raised this </w:t>
            </w:r>
            <w:proofErr w:type="gramStart"/>
            <w:r w:rsidRPr="00D60846">
              <w:rPr>
                <w:rFonts w:ascii="Open Sans" w:hAnsi="Open Sans" w:cs="Open Sans"/>
                <w:color w:val="202124"/>
                <w:spacing w:val="3"/>
                <w:shd w:val="clear" w:color="auto" w:fill="FFFFFF"/>
              </w:rPr>
              <w:t>issue</w:t>
            </w:r>
            <w:proofErr w:type="gramEnd"/>
            <w:r w:rsidRPr="00D60846">
              <w:rPr>
                <w:rFonts w:ascii="Open Sans" w:hAnsi="Open Sans" w:cs="Open Sans"/>
                <w:color w:val="202124"/>
                <w:spacing w:val="3"/>
                <w:shd w:val="clear" w:color="auto" w:fill="FFFFFF"/>
              </w:rPr>
              <w:t xml:space="preserve"> and the committee feels that it is a significant problem for the operation of the society and safety of its members. We consulted other faith-based societies as well and asked for their feedback. The feedback from some of the faith-based societies is seen below.</w:t>
            </w:r>
          </w:p>
          <w:p w14:paraId="2C196A83" w14:textId="77777777" w:rsidR="00CA2786" w:rsidRPr="00D60846" w:rsidRDefault="00CA2786" w:rsidP="00F752AB">
            <w:pPr>
              <w:spacing w:line="360" w:lineRule="auto"/>
              <w:rPr>
                <w:rFonts w:ascii="Open Sans" w:hAnsi="Open Sans" w:cs="Open Sans"/>
                <w:color w:val="202124"/>
                <w:spacing w:val="3"/>
                <w:shd w:val="clear" w:color="auto" w:fill="FFFFFF"/>
              </w:rPr>
            </w:pPr>
          </w:p>
          <w:p w14:paraId="661800CC"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Pensa Society: “</w:t>
            </w:r>
            <w:r w:rsidRPr="00D60846">
              <w:rPr>
                <w:rFonts w:ascii="Open Sans" w:hAnsi="Open Sans" w:cs="Open Sans"/>
                <w:i/>
                <w:iCs/>
                <w:color w:val="202124"/>
                <w:spacing w:val="3"/>
                <w:shd w:val="clear" w:color="auto" w:fill="FFFFFF"/>
              </w:rPr>
              <w:t>We think the proposal is a wonderful idea as it allows faith societies to stay true to their beliefs and values and it ensures that all committee members agree with the values therefore stopping potential future issues.”</w:t>
            </w:r>
          </w:p>
          <w:p w14:paraId="41E390D0" w14:textId="77777777" w:rsidR="00CA2786" w:rsidRPr="00D60846" w:rsidRDefault="00CA2786" w:rsidP="00F752AB">
            <w:pPr>
              <w:spacing w:line="360" w:lineRule="auto"/>
              <w:rPr>
                <w:rFonts w:ascii="Open Sans" w:hAnsi="Open Sans" w:cs="Open Sans"/>
                <w:i/>
                <w:iCs/>
                <w:color w:val="202124"/>
                <w:spacing w:val="3"/>
                <w:shd w:val="clear" w:color="auto" w:fill="FFFFFF"/>
              </w:rPr>
            </w:pPr>
          </w:p>
          <w:p w14:paraId="52375B52" w14:textId="77777777" w:rsidR="00CA2786" w:rsidRPr="00D60846" w:rsidRDefault="00CA2786" w:rsidP="00F752AB">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Catholic Society: “</w:t>
            </w:r>
            <w:r w:rsidRPr="00D60846">
              <w:rPr>
                <w:rFonts w:ascii="Open Sans" w:hAnsi="Open Sans" w:cs="Open Sans"/>
                <w:i/>
                <w:iCs/>
                <w:color w:val="202124"/>
                <w:spacing w:val="3"/>
                <w:shd w:val="clear" w:color="auto" w:fill="FFFFFF"/>
              </w:rPr>
              <w:t>We support this amendment because we are strongly committed to our faith and are totally opposed to any watering down or subversion of our identity which is currently possible without this amendment.”</w:t>
            </w:r>
          </w:p>
          <w:p w14:paraId="30B737E0" w14:textId="77777777" w:rsidR="00CA2786" w:rsidRPr="00D60846" w:rsidRDefault="00CA2786" w:rsidP="00F752AB">
            <w:pPr>
              <w:spacing w:line="360" w:lineRule="auto"/>
              <w:rPr>
                <w:rFonts w:ascii="Open Sans" w:hAnsi="Open Sans" w:cs="Open Sans"/>
                <w:i/>
                <w:iCs/>
                <w:color w:val="202124"/>
                <w:spacing w:val="3"/>
                <w:shd w:val="clear" w:color="auto" w:fill="FFFFFF"/>
              </w:rPr>
            </w:pPr>
          </w:p>
          <w:p w14:paraId="7FE7531B" w14:textId="77777777" w:rsidR="00CA2786" w:rsidRPr="00D60846" w:rsidRDefault="00CA2786" w:rsidP="00F752AB">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We also met with the Islamic society, and they were for the idea we are proposing. After consultation with these groups, we feel that the proposal is warranted and will have a positive effect on students of faith.</w:t>
            </w:r>
          </w:p>
          <w:p w14:paraId="686C1EA1" w14:textId="77777777" w:rsidR="00CA2786" w:rsidRPr="00D60846" w:rsidRDefault="00CA2786" w:rsidP="00F752AB">
            <w:pPr>
              <w:spacing w:line="360" w:lineRule="auto"/>
              <w:rPr>
                <w:rFonts w:ascii="Open Sans" w:hAnsi="Open Sans" w:cs="Open Sans"/>
              </w:rPr>
            </w:pPr>
          </w:p>
        </w:tc>
      </w:tr>
      <w:tr w:rsidR="00CA2786" w:rsidRPr="00D60846" w14:paraId="43C912B8" w14:textId="77777777" w:rsidTr="00F752AB">
        <w:tc>
          <w:tcPr>
            <w:tcW w:w="1696" w:type="dxa"/>
          </w:tcPr>
          <w:p w14:paraId="27E12ED7"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lastRenderedPageBreak/>
              <w:t>Purpose</w:t>
            </w:r>
          </w:p>
        </w:tc>
        <w:tc>
          <w:tcPr>
            <w:tcW w:w="7320" w:type="dxa"/>
          </w:tcPr>
          <w:p w14:paraId="04CEC567" w14:textId="77777777" w:rsidR="00CA2786" w:rsidRPr="00D60846" w:rsidRDefault="00CA2786" w:rsidP="00F752AB">
            <w:pPr>
              <w:spacing w:line="360" w:lineRule="auto"/>
              <w:rPr>
                <w:rFonts w:ascii="Open Sans" w:hAnsi="Open Sans" w:cs="Open Sans"/>
              </w:rPr>
            </w:pPr>
            <w:r w:rsidRPr="00D60846">
              <w:rPr>
                <w:rFonts w:ascii="Open Sans" w:hAnsi="Open Sans" w:cs="Open Sans"/>
              </w:rPr>
              <w:t>We propose an amendment to SUBU Clubs and Societies Elections policy to include an additional requirement for faith societies (who can choose to adopt it if they wish).</w:t>
            </w:r>
          </w:p>
          <w:p w14:paraId="0B77A4FD" w14:textId="77777777" w:rsidR="00CA2786" w:rsidRPr="00D60846" w:rsidRDefault="00CA2786" w:rsidP="00F752AB">
            <w:pPr>
              <w:spacing w:line="360" w:lineRule="auto"/>
              <w:rPr>
                <w:rFonts w:ascii="Open Sans" w:hAnsi="Open Sans" w:cs="Open Sans"/>
              </w:rPr>
            </w:pPr>
          </w:p>
          <w:p w14:paraId="0801239A" w14:textId="77777777" w:rsidR="00CA2786" w:rsidRPr="00D60846" w:rsidRDefault="00CA2786" w:rsidP="00F752AB">
            <w:pPr>
              <w:spacing w:line="360" w:lineRule="auto"/>
              <w:rPr>
                <w:rFonts w:ascii="Open Sans" w:hAnsi="Open Sans" w:cs="Open Sans"/>
              </w:rPr>
            </w:pPr>
            <w:r w:rsidRPr="00D60846">
              <w:rPr>
                <w:rFonts w:ascii="Open Sans" w:hAnsi="Open Sans" w:cs="Open Sans"/>
              </w:rPr>
              <w:t>This should sit under section 11.2 as additional clause 11.2.3 of the constitution and would be as below or similar:</w:t>
            </w:r>
          </w:p>
          <w:p w14:paraId="2EBF8C6F" w14:textId="77777777" w:rsidR="00CA2786" w:rsidRPr="00D60846" w:rsidRDefault="00CA2786" w:rsidP="00F752AB">
            <w:pPr>
              <w:spacing w:line="360" w:lineRule="auto"/>
              <w:ind w:left="720"/>
              <w:rPr>
                <w:rFonts w:ascii="Open Sans" w:hAnsi="Open Sans" w:cs="Open Sans"/>
              </w:rPr>
            </w:pPr>
            <w:r w:rsidRPr="00D60846">
              <w:rPr>
                <w:rFonts w:ascii="Open Sans" w:hAnsi="Open Sans" w:cs="Open Sans"/>
              </w:rPr>
              <w:t>“</w:t>
            </w:r>
            <w:r w:rsidRPr="00D60846">
              <w:rPr>
                <w:rFonts w:ascii="Open Sans" w:hAnsi="Open Sans" w:cs="Open Sans"/>
                <w:i/>
                <w:iCs/>
              </w:rPr>
              <w:t>All committee members and leaders must agree and adhere to the faith/religion/belief system (and denomination(s) where applicable) the society professes</w:t>
            </w:r>
            <w:r w:rsidRPr="00D60846">
              <w:rPr>
                <w:rFonts w:ascii="Open Sans" w:hAnsi="Open Sans" w:cs="Open Sans"/>
              </w:rPr>
              <w:t>”</w:t>
            </w:r>
          </w:p>
          <w:p w14:paraId="057B4EBA" w14:textId="77777777" w:rsidR="00CA2786" w:rsidRPr="00D60846" w:rsidRDefault="00CA2786" w:rsidP="00F752AB">
            <w:pPr>
              <w:spacing w:line="360" w:lineRule="auto"/>
              <w:rPr>
                <w:rFonts w:ascii="Open Sans" w:hAnsi="Open Sans" w:cs="Open Sans"/>
              </w:rPr>
            </w:pPr>
          </w:p>
          <w:p w14:paraId="6687E539" w14:textId="77777777" w:rsidR="00CA2786" w:rsidRPr="00D60846" w:rsidRDefault="00CA2786" w:rsidP="00F752AB">
            <w:pPr>
              <w:spacing w:line="360" w:lineRule="auto"/>
              <w:rPr>
                <w:rFonts w:ascii="Open Sans" w:hAnsi="Open Sans" w:cs="Open Sans"/>
              </w:rPr>
            </w:pPr>
            <w:r w:rsidRPr="00D60846">
              <w:rPr>
                <w:rFonts w:ascii="Open Sans" w:hAnsi="Open Sans" w:cs="Open Sans"/>
              </w:rPr>
              <w:t>Within the constitution, there would be a definition of the given faith. This constitution would be reviewed and agreed annually by the committee of the society and the Student Opportunities Team.</w:t>
            </w:r>
          </w:p>
          <w:p w14:paraId="0671A9A1" w14:textId="77777777" w:rsidR="00CA2786" w:rsidRPr="00D60846" w:rsidRDefault="00CA2786" w:rsidP="00F752AB">
            <w:pPr>
              <w:spacing w:line="360" w:lineRule="auto"/>
              <w:rPr>
                <w:rFonts w:ascii="Open Sans" w:hAnsi="Open Sans" w:cs="Open Sans"/>
              </w:rPr>
            </w:pPr>
          </w:p>
          <w:p w14:paraId="51854ADF" w14:textId="77777777" w:rsidR="00CA2786" w:rsidRPr="00D60846" w:rsidRDefault="00CA2786" w:rsidP="00F752AB">
            <w:pPr>
              <w:spacing w:line="360" w:lineRule="auto"/>
              <w:rPr>
                <w:rFonts w:ascii="Open Sans" w:hAnsi="Open Sans" w:cs="Open Sans"/>
              </w:rPr>
            </w:pPr>
            <w:r w:rsidRPr="00D60846">
              <w:rPr>
                <w:rFonts w:ascii="Open Sans" w:hAnsi="Open Sans" w:cs="Open Sans"/>
              </w:rPr>
              <w:t>Practically this would be implemented via the addition of a check box upon self-nomination to confirm they are of the relevant faith.</w:t>
            </w:r>
          </w:p>
          <w:p w14:paraId="01962E7F" w14:textId="77777777" w:rsidR="00CA2786" w:rsidRPr="00D60846" w:rsidRDefault="00CA2786" w:rsidP="00F752AB">
            <w:pPr>
              <w:spacing w:line="360" w:lineRule="auto"/>
              <w:rPr>
                <w:rFonts w:ascii="Open Sans" w:hAnsi="Open Sans" w:cs="Open Sans"/>
              </w:rPr>
            </w:pPr>
          </w:p>
          <w:p w14:paraId="79827DAC" w14:textId="77777777" w:rsidR="00CA2786" w:rsidRPr="00D60846" w:rsidRDefault="00CA2786" w:rsidP="00F752AB">
            <w:pPr>
              <w:spacing w:line="360" w:lineRule="auto"/>
              <w:rPr>
                <w:rFonts w:ascii="Open Sans" w:hAnsi="Open Sans" w:cs="Open Sans"/>
              </w:rPr>
            </w:pPr>
            <w:r w:rsidRPr="00D60846">
              <w:rPr>
                <w:rFonts w:ascii="Open Sans" w:hAnsi="Open Sans" w:cs="Open Sans"/>
              </w:rPr>
              <w:t>This would mean that faith-based societies can ensure that they are a safe space for students of that faith and that the society will be able to fulfil their purpose and goals. IT would also reduce the risk of any conflict within the society.</w:t>
            </w:r>
          </w:p>
          <w:p w14:paraId="1E1C30E4" w14:textId="77777777" w:rsidR="00CA2786" w:rsidRPr="00D60846" w:rsidRDefault="00CA2786" w:rsidP="00F752AB">
            <w:pPr>
              <w:spacing w:line="360" w:lineRule="auto"/>
              <w:rPr>
                <w:rFonts w:ascii="Open Sans" w:hAnsi="Open Sans" w:cs="Open Sans"/>
              </w:rPr>
            </w:pPr>
          </w:p>
          <w:p w14:paraId="3A8C4E28" w14:textId="77777777" w:rsidR="00CA2786" w:rsidRPr="00D60846" w:rsidRDefault="00CA2786" w:rsidP="00F752AB">
            <w:pPr>
              <w:spacing w:line="360" w:lineRule="auto"/>
              <w:rPr>
                <w:rFonts w:ascii="Open Sans" w:hAnsi="Open Sans" w:cs="Open Sans"/>
              </w:rPr>
            </w:pPr>
            <w:r w:rsidRPr="00D60846">
              <w:rPr>
                <w:rFonts w:ascii="Open Sans" w:hAnsi="Open Sans" w:cs="Open Sans"/>
              </w:rPr>
              <w:t>This is crucial for faith societies to have in place to ensure that elected officials are earnest in their wish to run for committee and to reduce the risk of religious discrimination.</w:t>
            </w:r>
          </w:p>
          <w:p w14:paraId="339F1844" w14:textId="77777777" w:rsidR="00CA2786" w:rsidRPr="00D60846" w:rsidRDefault="00CA2786" w:rsidP="00F752AB">
            <w:pPr>
              <w:spacing w:line="360" w:lineRule="auto"/>
              <w:rPr>
                <w:rFonts w:ascii="Open Sans" w:hAnsi="Open Sans" w:cs="Open Sans"/>
              </w:rPr>
            </w:pPr>
          </w:p>
          <w:p w14:paraId="7972CA55" w14:textId="77777777" w:rsidR="00CA2786" w:rsidRPr="00D60846" w:rsidRDefault="00CA2786" w:rsidP="00F752AB">
            <w:pPr>
              <w:spacing w:line="360" w:lineRule="auto"/>
              <w:rPr>
                <w:rFonts w:ascii="Open Sans" w:hAnsi="Open Sans" w:cs="Open Sans"/>
              </w:rPr>
            </w:pPr>
            <w:r w:rsidRPr="00D60846">
              <w:rPr>
                <w:rFonts w:ascii="Open Sans" w:hAnsi="Open Sans" w:cs="Open Sans"/>
              </w:rPr>
              <w:t>Additionally, in the event that a committee member is no longer of the given faith, we believe there are adequate processes and protections within the model constitution (7:8-10) that provide grounds for their removal from leadership.</w:t>
            </w:r>
          </w:p>
        </w:tc>
      </w:tr>
      <w:tr w:rsidR="00CA2786" w:rsidRPr="00D60846" w14:paraId="520DCD9F" w14:textId="77777777" w:rsidTr="00F752AB">
        <w:tc>
          <w:tcPr>
            <w:tcW w:w="1696" w:type="dxa"/>
          </w:tcPr>
          <w:p w14:paraId="13DFEFCB" w14:textId="77777777" w:rsidR="00CA2786" w:rsidRPr="00231F90" w:rsidRDefault="00CA2786" w:rsidP="00F752AB">
            <w:pPr>
              <w:spacing w:line="360" w:lineRule="auto"/>
              <w:rPr>
                <w:rFonts w:ascii="Open Sans" w:hAnsi="Open Sans" w:cs="Open Sans"/>
                <w:b/>
                <w:bCs/>
              </w:rPr>
            </w:pPr>
            <w:r w:rsidRPr="00231F90">
              <w:rPr>
                <w:rFonts w:ascii="Open Sans" w:hAnsi="Open Sans" w:cs="Open Sans"/>
                <w:b/>
                <w:bCs/>
              </w:rPr>
              <w:lastRenderedPageBreak/>
              <w:t>Actions</w:t>
            </w:r>
          </w:p>
        </w:tc>
        <w:tc>
          <w:tcPr>
            <w:tcW w:w="7320" w:type="dxa"/>
          </w:tcPr>
          <w:p w14:paraId="10FEF526" w14:textId="77777777" w:rsidR="00CA2786" w:rsidRPr="00D60846" w:rsidRDefault="00CA2786" w:rsidP="00F752AB">
            <w:pPr>
              <w:spacing w:after="160" w:line="360" w:lineRule="auto"/>
              <w:rPr>
                <w:rFonts w:ascii="Open Sans" w:hAnsi="Open Sans" w:cs="Open Sans"/>
                <w:b/>
                <w:bCs/>
              </w:rPr>
            </w:pPr>
            <w:r w:rsidRPr="00D60846">
              <w:rPr>
                <w:rFonts w:ascii="Open Sans" w:hAnsi="Open Sans" w:cs="Open Sans"/>
                <w:b/>
                <w:bCs/>
              </w:rPr>
              <w:t>1. SUBU will amend clubs and societies election policy to include proposed clause 11.2.3</w:t>
            </w:r>
          </w:p>
          <w:p w14:paraId="200F6156" w14:textId="77777777" w:rsidR="00CA2786" w:rsidRPr="00D60846" w:rsidRDefault="00CA2786" w:rsidP="00F752AB">
            <w:pPr>
              <w:spacing w:after="160" w:line="360" w:lineRule="auto"/>
              <w:rPr>
                <w:rFonts w:ascii="Open Sans" w:hAnsi="Open Sans" w:cs="Open Sans"/>
                <w:b/>
                <w:bCs/>
              </w:rPr>
            </w:pPr>
            <w:r w:rsidRPr="00D60846">
              <w:rPr>
                <w:rFonts w:ascii="Open Sans" w:hAnsi="Open Sans" w:cs="Open Sans"/>
                <w:b/>
                <w:bCs/>
              </w:rPr>
              <w:t>2. SUBU will amend clubs and societies constitution of faith/belief societies to include proposed clause 13.6</w:t>
            </w:r>
          </w:p>
          <w:p w14:paraId="0915F25E" w14:textId="77777777" w:rsidR="00CA2786" w:rsidRPr="00D60846" w:rsidRDefault="00CA2786" w:rsidP="00F752AB">
            <w:pPr>
              <w:spacing w:after="160" w:line="360" w:lineRule="auto"/>
              <w:rPr>
                <w:rFonts w:ascii="Open Sans" w:hAnsi="Open Sans" w:cs="Open Sans"/>
                <w:b/>
                <w:bCs/>
              </w:rPr>
            </w:pPr>
            <w:r w:rsidRPr="00D60846">
              <w:rPr>
                <w:rFonts w:ascii="Open Sans" w:hAnsi="Open Sans" w:cs="Open Sans"/>
                <w:b/>
                <w:bCs/>
              </w:rPr>
              <w:t>3. SUBU will amend any other policy or byelaw currently in place that would prevent the above proposed clauses being implemented to allow for their addition.</w:t>
            </w:r>
          </w:p>
          <w:p w14:paraId="29FFB69F" w14:textId="77777777" w:rsidR="00CA2786" w:rsidRPr="00D60846" w:rsidRDefault="00CA2786" w:rsidP="00F752AB">
            <w:pPr>
              <w:spacing w:line="360" w:lineRule="auto"/>
              <w:rPr>
                <w:rFonts w:ascii="Open Sans" w:hAnsi="Open Sans" w:cs="Open Sans"/>
              </w:rPr>
            </w:pPr>
          </w:p>
        </w:tc>
      </w:tr>
    </w:tbl>
    <w:p w14:paraId="3385C74D" w14:textId="77777777" w:rsidR="00EF7EF0" w:rsidRDefault="00EF7EF0"/>
    <w:sectPr w:rsidR="00EF7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AD4"/>
    <w:multiLevelType w:val="hybridMultilevel"/>
    <w:tmpl w:val="61A8E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55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F0"/>
    <w:rsid w:val="00025B87"/>
    <w:rsid w:val="00131590"/>
    <w:rsid w:val="003B3EF0"/>
    <w:rsid w:val="00751808"/>
    <w:rsid w:val="00805D00"/>
    <w:rsid w:val="00851234"/>
    <w:rsid w:val="00CA2786"/>
    <w:rsid w:val="00E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BEE1"/>
  <w15:chartTrackingRefBased/>
  <w15:docId w15:val="{032DED07-6ECE-46BB-A907-5B6D214D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86"/>
    <w:rPr>
      <w:kern w:val="0"/>
      <w14:ligatures w14:val="none"/>
    </w:rPr>
  </w:style>
  <w:style w:type="paragraph" w:styleId="Heading1">
    <w:name w:val="heading 1"/>
    <w:basedOn w:val="Normal"/>
    <w:next w:val="Normal"/>
    <w:link w:val="Heading1Char"/>
    <w:uiPriority w:val="9"/>
    <w:qFormat/>
    <w:rsid w:val="003B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F0"/>
    <w:rPr>
      <w:rFonts w:eastAsiaTheme="majorEastAsia" w:cstheme="majorBidi"/>
      <w:color w:val="272727" w:themeColor="text1" w:themeTint="D8"/>
    </w:rPr>
  </w:style>
  <w:style w:type="paragraph" w:styleId="Title">
    <w:name w:val="Title"/>
    <w:basedOn w:val="Normal"/>
    <w:next w:val="Normal"/>
    <w:link w:val="TitleChar"/>
    <w:uiPriority w:val="10"/>
    <w:qFormat/>
    <w:rsid w:val="003B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F0"/>
    <w:pPr>
      <w:spacing w:before="160"/>
      <w:jc w:val="center"/>
    </w:pPr>
    <w:rPr>
      <w:i/>
      <w:iCs/>
      <w:color w:val="404040" w:themeColor="text1" w:themeTint="BF"/>
    </w:rPr>
  </w:style>
  <w:style w:type="character" w:customStyle="1" w:styleId="QuoteChar">
    <w:name w:val="Quote Char"/>
    <w:basedOn w:val="DefaultParagraphFont"/>
    <w:link w:val="Quote"/>
    <w:uiPriority w:val="29"/>
    <w:rsid w:val="003B3EF0"/>
    <w:rPr>
      <w:i/>
      <w:iCs/>
      <w:color w:val="404040" w:themeColor="text1" w:themeTint="BF"/>
    </w:rPr>
  </w:style>
  <w:style w:type="paragraph" w:styleId="ListParagraph">
    <w:name w:val="List Paragraph"/>
    <w:basedOn w:val="Normal"/>
    <w:uiPriority w:val="34"/>
    <w:qFormat/>
    <w:rsid w:val="003B3EF0"/>
    <w:pPr>
      <w:ind w:left="720"/>
      <w:contextualSpacing/>
    </w:pPr>
  </w:style>
  <w:style w:type="character" w:styleId="IntenseEmphasis">
    <w:name w:val="Intense Emphasis"/>
    <w:basedOn w:val="DefaultParagraphFont"/>
    <w:uiPriority w:val="21"/>
    <w:qFormat/>
    <w:rsid w:val="003B3EF0"/>
    <w:rPr>
      <w:i/>
      <w:iCs/>
      <w:color w:val="0F4761" w:themeColor="accent1" w:themeShade="BF"/>
    </w:rPr>
  </w:style>
  <w:style w:type="paragraph" w:styleId="IntenseQuote">
    <w:name w:val="Intense Quote"/>
    <w:basedOn w:val="Normal"/>
    <w:next w:val="Normal"/>
    <w:link w:val="IntenseQuoteChar"/>
    <w:uiPriority w:val="30"/>
    <w:qFormat/>
    <w:rsid w:val="003B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F0"/>
    <w:rPr>
      <w:i/>
      <w:iCs/>
      <w:color w:val="0F4761" w:themeColor="accent1" w:themeShade="BF"/>
    </w:rPr>
  </w:style>
  <w:style w:type="character" w:styleId="IntenseReference">
    <w:name w:val="Intense Reference"/>
    <w:basedOn w:val="DefaultParagraphFont"/>
    <w:uiPriority w:val="32"/>
    <w:qFormat/>
    <w:rsid w:val="003B3EF0"/>
    <w:rPr>
      <w:b/>
      <w:bCs/>
      <w:smallCaps/>
      <w:color w:val="0F4761" w:themeColor="accent1" w:themeShade="BF"/>
      <w:spacing w:val="5"/>
    </w:rPr>
  </w:style>
  <w:style w:type="table" w:styleId="TableGrid">
    <w:name w:val="Table Grid"/>
    <w:basedOn w:val="TableNormal"/>
    <w:uiPriority w:val="39"/>
    <w:rsid w:val="00CA27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E6F5363C-3AA8-421B-8EA0-6511D5C8A6DD}"/>
</file>

<file path=customXml/itemProps2.xml><?xml version="1.0" encoding="utf-8"?>
<ds:datastoreItem xmlns:ds="http://schemas.openxmlformats.org/officeDocument/2006/customXml" ds:itemID="{A9C37BBB-2F6E-4129-A413-C9794F954D2A}"/>
</file>

<file path=customXml/itemProps3.xml><?xml version="1.0" encoding="utf-8"?>
<ds:datastoreItem xmlns:ds="http://schemas.openxmlformats.org/officeDocument/2006/customXml" ds:itemID="{BF4DF017-DB8F-4EF9-B2BC-FE22DBEC044C}"/>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5342</Characters>
  <Application>Microsoft Office Word</Application>
  <DocSecurity>0</DocSecurity>
  <Lines>593</Lines>
  <Paragraphs>406</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2</cp:revision>
  <dcterms:created xsi:type="dcterms:W3CDTF">2026-01-29T15:50:00Z</dcterms:created>
  <dcterms:modified xsi:type="dcterms:W3CDTF">2026-01-29T15:51:00Z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